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580B8" w14:textId="3BF7D083" w:rsidR="004458F6" w:rsidRPr="00076380" w:rsidRDefault="004458F6" w:rsidP="004458F6">
      <w:pPr>
        <w:jc w:val="center"/>
        <w:rPr>
          <w:b/>
          <w:bCs/>
          <w:sz w:val="36"/>
          <w:szCs w:val="36"/>
        </w:rPr>
      </w:pPr>
      <w:r w:rsidRPr="00076380">
        <w:rPr>
          <w:b/>
          <w:bCs/>
          <w:sz w:val="36"/>
          <w:szCs w:val="36"/>
        </w:rPr>
        <w:t>Guide to Using IntelliWriter®</w:t>
      </w:r>
    </w:p>
    <w:p w14:paraId="43FE61C2" w14:textId="282D4A59" w:rsidR="00FC0268" w:rsidRDefault="004458F6">
      <w:r>
        <w:t xml:space="preserve">IntelliWriter® is helpful at all stages of the writing process and for all types of writing. Below are some tips for using the application and documents within its Writer's Guide to help you in </w:t>
      </w:r>
      <w:r w:rsidRPr="00076380">
        <w:t xml:space="preserve">your </w:t>
      </w:r>
      <w:r w:rsidRPr="00076380">
        <w:rPr>
          <w:highlight w:val="yellow"/>
        </w:rPr>
        <w:t>&lt;Insert Course Name Here&gt;</w:t>
      </w:r>
      <w:r>
        <w:t xml:space="preserve"> </w:t>
      </w:r>
      <w:r>
        <w:t>course.</w:t>
      </w:r>
    </w:p>
    <w:tbl>
      <w:tblPr>
        <w:tblStyle w:val="TableGrid"/>
        <w:tblW w:w="0" w:type="auto"/>
        <w:tblLook w:val="04A0" w:firstRow="1" w:lastRow="0" w:firstColumn="1" w:lastColumn="0" w:noHBand="0" w:noVBand="1"/>
      </w:tblPr>
      <w:tblGrid>
        <w:gridCol w:w="3614"/>
        <w:gridCol w:w="5736"/>
      </w:tblGrid>
      <w:tr w:rsidR="004458F6" w14:paraId="4575D396" w14:textId="77777777" w:rsidTr="004458F6">
        <w:tc>
          <w:tcPr>
            <w:tcW w:w="4788" w:type="dxa"/>
          </w:tcPr>
          <w:p w14:paraId="078BE56B" w14:textId="77777777" w:rsidR="004458F6" w:rsidRPr="004458F6" w:rsidRDefault="004458F6">
            <w:pPr>
              <w:rPr>
                <w:b/>
                <w:bCs/>
              </w:rPr>
            </w:pPr>
            <w:r w:rsidRPr="004458F6">
              <w:rPr>
                <w:b/>
                <w:bCs/>
              </w:rPr>
              <w:t xml:space="preserve">Evaluate your draft by writing domain. </w:t>
            </w:r>
          </w:p>
          <w:p w14:paraId="6973EEB0" w14:textId="4B4659CE" w:rsidR="004458F6" w:rsidRDefault="004458F6">
            <w:r>
              <w:t>After saving a document and using the "Check My Doc" button, use recommendations to improve your draft's effectiveness in four writing domains: focus/purpose, content/development, organization, and style. Colored dials in the stats section (yellow</w:t>
            </w:r>
            <w:r w:rsidR="00076380">
              <w:t xml:space="preserve"> and green</w:t>
            </w:r>
            <w:r>
              <w:t xml:space="preserve"> in the example to the right) tell you how your draft aligns with expectations.</w:t>
            </w:r>
          </w:p>
        </w:tc>
        <w:tc>
          <w:tcPr>
            <w:tcW w:w="4788" w:type="dxa"/>
          </w:tcPr>
          <w:p w14:paraId="45C71A15" w14:textId="77777777" w:rsidR="004458F6" w:rsidRDefault="004458F6" w:rsidP="004458F6">
            <w:pPr>
              <w:jc w:val="center"/>
            </w:pPr>
            <w:r>
              <w:rPr>
                <w:noProof/>
              </w:rPr>
              <w:drawing>
                <wp:inline distT="0" distB="0" distL="0" distR="0" wp14:anchorId="47CA353C" wp14:editId="5A03363A">
                  <wp:extent cx="3220729" cy="15322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227446" cy="1535451"/>
                          </a:xfrm>
                          <a:prstGeom prst="rect">
                            <a:avLst/>
                          </a:prstGeom>
                        </pic:spPr>
                      </pic:pic>
                    </a:graphicData>
                  </a:graphic>
                </wp:inline>
              </w:drawing>
            </w:r>
          </w:p>
          <w:p w14:paraId="7DB5559B" w14:textId="77777777" w:rsidR="004458F6" w:rsidRDefault="004458F6"/>
          <w:p w14:paraId="1F98D6D1" w14:textId="0240742B" w:rsidR="004458F6" w:rsidRDefault="004458F6"/>
        </w:tc>
      </w:tr>
      <w:tr w:rsidR="004458F6" w14:paraId="5C6B3068" w14:textId="77777777" w:rsidTr="004458F6">
        <w:tc>
          <w:tcPr>
            <w:tcW w:w="4788" w:type="dxa"/>
          </w:tcPr>
          <w:p w14:paraId="540550D7" w14:textId="77777777" w:rsidR="004458F6" w:rsidRDefault="004458F6">
            <w:pPr>
              <w:rPr>
                <w:b/>
                <w:bCs/>
              </w:rPr>
            </w:pPr>
          </w:p>
          <w:p w14:paraId="6F47F138" w14:textId="3A4068E8" w:rsidR="004458F6" w:rsidRPr="004458F6" w:rsidRDefault="004458F6">
            <w:pPr>
              <w:rPr>
                <w:b/>
                <w:bCs/>
              </w:rPr>
            </w:pPr>
            <w:r w:rsidRPr="004458F6">
              <w:rPr>
                <w:b/>
                <w:bCs/>
              </w:rPr>
              <w:t>Identify areas for improvement.</w:t>
            </w:r>
          </w:p>
          <w:p w14:paraId="5442FC28" w14:textId="35FDF72B" w:rsidR="004458F6" w:rsidRDefault="004458F6">
            <w:r>
              <w:t>The "Grammar" button (purple in the image) may contain suggestions, such as to avoid cliches or contractions.</w:t>
            </w:r>
          </w:p>
        </w:tc>
        <w:tc>
          <w:tcPr>
            <w:tcW w:w="4788" w:type="dxa"/>
          </w:tcPr>
          <w:p w14:paraId="407A2544" w14:textId="77777777" w:rsidR="004458F6" w:rsidRDefault="004458F6" w:rsidP="004458F6">
            <w:pPr>
              <w:jc w:val="center"/>
            </w:pPr>
            <w:r>
              <w:rPr>
                <w:noProof/>
              </w:rPr>
              <w:drawing>
                <wp:inline distT="0" distB="0" distL="0" distR="0" wp14:anchorId="1282262F" wp14:editId="72F4F3F8">
                  <wp:extent cx="3287299" cy="13581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330786" cy="1376084"/>
                          </a:xfrm>
                          <a:prstGeom prst="rect">
                            <a:avLst/>
                          </a:prstGeom>
                        </pic:spPr>
                      </pic:pic>
                    </a:graphicData>
                  </a:graphic>
                </wp:inline>
              </w:drawing>
            </w:r>
          </w:p>
          <w:p w14:paraId="28D05C21" w14:textId="6AFB29A9" w:rsidR="004458F6" w:rsidRDefault="004458F6"/>
        </w:tc>
      </w:tr>
      <w:tr w:rsidR="004458F6" w14:paraId="151BEEAB" w14:textId="77777777" w:rsidTr="004458F6">
        <w:tc>
          <w:tcPr>
            <w:tcW w:w="4788" w:type="dxa"/>
          </w:tcPr>
          <w:p w14:paraId="7FD37CE7" w14:textId="77777777" w:rsidR="004458F6" w:rsidRPr="004458F6" w:rsidRDefault="004458F6">
            <w:pPr>
              <w:rPr>
                <w:b/>
                <w:bCs/>
              </w:rPr>
            </w:pPr>
            <w:r w:rsidRPr="004458F6">
              <w:rPr>
                <w:b/>
                <w:bCs/>
              </w:rPr>
              <w:t xml:space="preserve">Access writing help. </w:t>
            </w:r>
          </w:p>
          <w:p w14:paraId="172CFE7E" w14:textId="30667238" w:rsidR="004458F6" w:rsidRDefault="004458F6">
            <w:r>
              <w:t xml:space="preserve">As shown in the image, use the </w:t>
            </w:r>
            <w:r>
              <w:t>Resources</w:t>
            </w:r>
            <w:r>
              <w:t xml:space="preserve"> tab (blue </w:t>
            </w:r>
            <w:r w:rsidR="00076380">
              <w:t>in image</w:t>
            </w:r>
            <w:r>
              <w:t>) to reach the Writer's Guides.</w:t>
            </w:r>
          </w:p>
        </w:tc>
        <w:tc>
          <w:tcPr>
            <w:tcW w:w="4788" w:type="dxa"/>
          </w:tcPr>
          <w:p w14:paraId="16FA8F3E" w14:textId="77777777" w:rsidR="004458F6" w:rsidRDefault="004458F6" w:rsidP="004458F6">
            <w:pPr>
              <w:jc w:val="center"/>
            </w:pPr>
            <w:r>
              <w:rPr>
                <w:noProof/>
              </w:rPr>
              <w:drawing>
                <wp:inline distT="0" distB="0" distL="0" distR="0" wp14:anchorId="3C6F6F6A" wp14:editId="674E6206">
                  <wp:extent cx="3094602" cy="960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099552" cy="961656"/>
                          </a:xfrm>
                          <a:prstGeom prst="rect">
                            <a:avLst/>
                          </a:prstGeom>
                        </pic:spPr>
                      </pic:pic>
                    </a:graphicData>
                  </a:graphic>
                </wp:inline>
              </w:drawing>
            </w:r>
          </w:p>
          <w:p w14:paraId="342BF327" w14:textId="4513784A" w:rsidR="004458F6" w:rsidRDefault="004458F6"/>
        </w:tc>
      </w:tr>
      <w:tr w:rsidR="004458F6" w14:paraId="27C56CBC" w14:textId="77777777" w:rsidTr="004458F6">
        <w:tc>
          <w:tcPr>
            <w:tcW w:w="4788" w:type="dxa"/>
          </w:tcPr>
          <w:p w14:paraId="2CFB4815" w14:textId="77777777" w:rsidR="004458F6" w:rsidRPr="004458F6" w:rsidRDefault="004458F6">
            <w:pPr>
              <w:rPr>
                <w:b/>
                <w:bCs/>
              </w:rPr>
            </w:pPr>
            <w:r w:rsidRPr="004458F6">
              <w:rPr>
                <w:b/>
                <w:bCs/>
              </w:rPr>
              <w:t xml:space="preserve">Locate a specific help resource. </w:t>
            </w:r>
          </w:p>
          <w:p w14:paraId="6B9FE53E" w14:textId="48F22C3F" w:rsidR="004458F6" w:rsidRDefault="004458F6">
            <w:r>
              <w:t>Typing a keyword into the Writer's Guide search window will produce a list of possible resources that you can use to help you with the specific area of concern that IntelliWriter® has identified</w:t>
            </w:r>
            <w:r w:rsidR="00076380">
              <w:t>.</w:t>
            </w:r>
          </w:p>
        </w:tc>
        <w:tc>
          <w:tcPr>
            <w:tcW w:w="4788" w:type="dxa"/>
          </w:tcPr>
          <w:p w14:paraId="249C86F2" w14:textId="77777777" w:rsidR="004458F6" w:rsidRDefault="004458F6" w:rsidP="004458F6">
            <w:pPr>
              <w:jc w:val="center"/>
            </w:pPr>
            <w:r>
              <w:rPr>
                <w:noProof/>
              </w:rPr>
              <w:drawing>
                <wp:inline distT="0" distB="0" distL="0" distR="0" wp14:anchorId="00042981" wp14:editId="4C143A40">
                  <wp:extent cx="3320759" cy="1398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28783" cy="1402285"/>
                          </a:xfrm>
                          <a:prstGeom prst="rect">
                            <a:avLst/>
                          </a:prstGeom>
                        </pic:spPr>
                      </pic:pic>
                    </a:graphicData>
                  </a:graphic>
                </wp:inline>
              </w:drawing>
            </w:r>
          </w:p>
          <w:p w14:paraId="702A7488" w14:textId="5861378A" w:rsidR="004458F6" w:rsidRDefault="004458F6"/>
        </w:tc>
      </w:tr>
      <w:tr w:rsidR="004458F6" w14:paraId="044D1E39" w14:textId="77777777" w:rsidTr="004458F6">
        <w:tc>
          <w:tcPr>
            <w:tcW w:w="4788" w:type="dxa"/>
          </w:tcPr>
          <w:p w14:paraId="594D5351" w14:textId="77777777" w:rsidR="004458F6" w:rsidRPr="004458F6" w:rsidRDefault="004458F6">
            <w:pPr>
              <w:rPr>
                <w:b/>
                <w:bCs/>
              </w:rPr>
            </w:pPr>
            <w:r w:rsidRPr="004458F6">
              <w:rPr>
                <w:b/>
                <w:bCs/>
              </w:rPr>
              <w:lastRenderedPageBreak/>
              <w:t xml:space="preserve">Check for originality. </w:t>
            </w:r>
          </w:p>
          <w:p w14:paraId="5BE92E5A" w14:textId="23679F0C" w:rsidR="004458F6" w:rsidRDefault="004458F6">
            <w:r>
              <w:t>The process of weaving others' ideas into one's own is challenging, not to mention a critical step on the path to higher levels of education. Use the Cite.ai button to scour the Web and alert you to text that should be cited. IntelliWriter will then provide you with a detailed Originality Report.</w:t>
            </w:r>
          </w:p>
        </w:tc>
        <w:tc>
          <w:tcPr>
            <w:tcW w:w="4788" w:type="dxa"/>
          </w:tcPr>
          <w:p w14:paraId="1BA42C88" w14:textId="7EFF509B" w:rsidR="004458F6" w:rsidRDefault="004458F6" w:rsidP="004458F6">
            <w:pPr>
              <w:jc w:val="center"/>
            </w:pPr>
            <w:r>
              <w:rPr>
                <w:noProof/>
              </w:rPr>
              <w:drawing>
                <wp:inline distT="0" distB="0" distL="0" distR="0" wp14:anchorId="23C443FF" wp14:editId="2A7EAA8A">
                  <wp:extent cx="3496235" cy="11430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06324" cy="1146298"/>
                          </a:xfrm>
                          <a:prstGeom prst="rect">
                            <a:avLst/>
                          </a:prstGeom>
                        </pic:spPr>
                      </pic:pic>
                    </a:graphicData>
                  </a:graphic>
                </wp:inline>
              </w:drawing>
            </w:r>
          </w:p>
        </w:tc>
      </w:tr>
      <w:tr w:rsidR="004458F6" w14:paraId="6E34E41B" w14:textId="77777777" w:rsidTr="00F45AA2">
        <w:tc>
          <w:tcPr>
            <w:tcW w:w="9576" w:type="dxa"/>
            <w:gridSpan w:val="2"/>
          </w:tcPr>
          <w:p w14:paraId="705520BB" w14:textId="77777777" w:rsidR="004458F6" w:rsidRPr="004458F6" w:rsidRDefault="004458F6">
            <w:pPr>
              <w:rPr>
                <w:b/>
                <w:bCs/>
              </w:rPr>
            </w:pPr>
            <w:r w:rsidRPr="004458F6">
              <w:rPr>
                <w:b/>
                <w:bCs/>
              </w:rPr>
              <w:t xml:space="preserve">Additional Resources </w:t>
            </w:r>
          </w:p>
          <w:p w14:paraId="77E6A5FA" w14:textId="08657743" w:rsidR="004458F6" w:rsidRDefault="004458F6">
            <w:r>
              <w:t xml:space="preserve">Step-by-Step Writing Process: </w:t>
            </w:r>
            <w:hyperlink r:id="rId9" w:history="1">
              <w:r w:rsidRPr="007A552C">
                <w:rPr>
                  <w:rStyle w:val="Hyperlink"/>
                </w:rPr>
                <w:t>https://guide.writeahead.com/docs/general-writing-2/step-by-step-writing-process/</w:t>
              </w:r>
            </w:hyperlink>
            <w:r>
              <w:t xml:space="preserve"> </w:t>
            </w:r>
          </w:p>
          <w:p w14:paraId="0AC42396" w14:textId="77777777" w:rsidR="004458F6" w:rsidRDefault="004458F6">
            <w:r>
              <w:t xml:space="preserve">Essays: Getting Started: </w:t>
            </w:r>
            <w:hyperlink r:id="rId10" w:history="1">
              <w:r w:rsidRPr="007A552C">
                <w:rPr>
                  <w:rStyle w:val="Hyperlink"/>
                </w:rPr>
                <w:t>https://guide.writeahead.com/docs/general-writing/essays-getting-started/</w:t>
              </w:r>
            </w:hyperlink>
            <w:r>
              <w:t xml:space="preserve"> </w:t>
            </w:r>
            <w:r>
              <w:t xml:space="preserve"> </w:t>
            </w:r>
            <w:r>
              <w:t xml:space="preserve"> </w:t>
            </w:r>
            <w:r>
              <w:t xml:space="preserve">Paragraphs: Structure: </w:t>
            </w:r>
            <w:hyperlink r:id="rId11" w:history="1">
              <w:r w:rsidRPr="007A552C">
                <w:rPr>
                  <w:rStyle w:val="Hyperlink"/>
                </w:rPr>
                <w:t>https://guide.writeahead.com/docs/general-writing-2/paragraphs-structure/</w:t>
              </w:r>
            </w:hyperlink>
            <w:r>
              <w:t xml:space="preserve"> </w:t>
            </w:r>
          </w:p>
          <w:p w14:paraId="0FBA018B" w14:textId="77777777" w:rsidR="004458F6" w:rsidRDefault="004458F6"/>
          <w:p w14:paraId="4B6148DB" w14:textId="0DC8BDEA" w:rsidR="004458F6" w:rsidRDefault="004458F6">
            <w:r>
              <w:t xml:space="preserve">Help and Support: </w:t>
            </w:r>
            <w:hyperlink r:id="rId12" w:history="1">
              <w:r w:rsidRPr="007A552C">
                <w:rPr>
                  <w:rStyle w:val="Hyperlink"/>
                </w:rPr>
                <w:t>https://resource.vantage.com/display/IW/IntelliWriter+-+User+Guide</w:t>
              </w:r>
            </w:hyperlink>
            <w:r>
              <w:t xml:space="preserve"> </w:t>
            </w:r>
          </w:p>
        </w:tc>
      </w:tr>
    </w:tbl>
    <w:p w14:paraId="4B777C2F" w14:textId="77777777" w:rsidR="004458F6" w:rsidRDefault="004458F6"/>
    <w:sectPr w:rsidR="00445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8F6"/>
    <w:rsid w:val="00076380"/>
    <w:rsid w:val="004458F6"/>
    <w:rsid w:val="00FC0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2FF75"/>
  <w15:chartTrackingRefBased/>
  <w15:docId w15:val="{BF91BE52-6D99-475D-94EE-CF0D5C45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5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58F6"/>
    <w:rPr>
      <w:color w:val="0000FF" w:themeColor="hyperlink"/>
      <w:u w:val="single"/>
    </w:rPr>
  </w:style>
  <w:style w:type="character" w:styleId="UnresolvedMention">
    <w:name w:val="Unresolved Mention"/>
    <w:basedOn w:val="DefaultParagraphFont"/>
    <w:uiPriority w:val="99"/>
    <w:semiHidden/>
    <w:unhideWhenUsed/>
    <w:rsid w:val="00445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s://resource.vantage.com/display/IW/IntelliWriter+-+User+Gui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guide.writeahead.com/docs/general-writing-2/paragraphs-structure/" TargetMode="External"/><Relationship Id="rId5" Type="http://schemas.openxmlformats.org/officeDocument/2006/relationships/image" Target="media/image2.png"/><Relationship Id="rId10" Type="http://schemas.openxmlformats.org/officeDocument/2006/relationships/hyperlink" Target="https://guide.writeahead.com/docs/general-writing/essays-getting-started/" TargetMode="External"/><Relationship Id="rId4" Type="http://schemas.openxmlformats.org/officeDocument/2006/relationships/image" Target="media/image1.png"/><Relationship Id="rId9" Type="http://schemas.openxmlformats.org/officeDocument/2006/relationships/hyperlink" Target="https://guide.writeahead.com/docs/general-writing-2/step-by-step-writing-proce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Ferry</dc:creator>
  <cp:keywords/>
  <dc:description/>
  <cp:lastModifiedBy>Jaclyn Ferry</cp:lastModifiedBy>
  <cp:revision>1</cp:revision>
  <dcterms:created xsi:type="dcterms:W3CDTF">2022-10-11T16:06:00Z</dcterms:created>
  <dcterms:modified xsi:type="dcterms:W3CDTF">2022-10-11T16:20:00Z</dcterms:modified>
</cp:coreProperties>
</file>